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38" w:rsidRPr="00AB0A38" w:rsidRDefault="00406F8C" w:rsidP="00AB0A3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348725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04562" cy="9618134"/>
            <wp:effectExtent l="0" t="0" r="0" b="0"/>
            <wp:docPr id="1" name="Рисунок 1" descr="H:\КТП 3 кл. 2024\титульнйлист\титульный лист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ТП 3 кл. 2024\титульнйлист\титульный лист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668" cy="961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06D13" w:rsidRPr="00056C65" w:rsidRDefault="00F06D13">
      <w:pPr>
        <w:spacing w:after="0"/>
        <w:ind w:left="120"/>
        <w:jc w:val="center"/>
        <w:rPr>
          <w:lang w:val="ru-RU"/>
        </w:rPr>
      </w:pPr>
    </w:p>
    <w:p w:rsidR="00F06D13" w:rsidRPr="00056C65" w:rsidRDefault="00F06D13">
      <w:pPr>
        <w:spacing w:after="0"/>
        <w:ind w:left="120"/>
        <w:jc w:val="center"/>
        <w:rPr>
          <w:lang w:val="ru-RU"/>
        </w:rPr>
      </w:pPr>
    </w:p>
    <w:p w:rsidR="00D17632" w:rsidRDefault="00D17632" w:rsidP="00D176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34872552"/>
    </w:p>
    <w:p w:rsidR="00D17632" w:rsidRDefault="00D17632" w:rsidP="00D176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характеристики, оценки, расчёты и прикидка, использование графических форм представления информации).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c284a2b-8dc7-47b2-bec2-e0e566c832d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872545"/>
      <w:bookmarkEnd w:id="2"/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17632" w:rsidRPr="00D17632" w:rsidRDefault="00D17632" w:rsidP="00D17632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 самостоятельно выбранному правилу;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4872546"/>
      <w:bookmarkEnd w:id="4"/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17632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17632" w:rsidRPr="00D17632" w:rsidRDefault="00D17632" w:rsidP="00D17632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17632" w:rsidRPr="00D17632" w:rsidRDefault="00D17632" w:rsidP="00D176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(одно-двухшаговые), в том числе с использованием изученных связок;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D17632" w:rsidRPr="00D17632" w:rsidRDefault="00D17632" w:rsidP="00D176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17632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D17632" w:rsidRDefault="00D17632" w:rsidP="00D176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7632" w:rsidRDefault="00D17632" w:rsidP="00D1763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7632" w:rsidRPr="00D17632" w:rsidRDefault="00D17632" w:rsidP="00D17632">
      <w:pPr>
        <w:spacing w:after="0"/>
        <w:ind w:left="120"/>
        <w:rPr>
          <w:sz w:val="24"/>
          <w:szCs w:val="24"/>
        </w:rPr>
      </w:pPr>
      <w:r w:rsidRPr="00D1763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17632" w:rsidRPr="00D17632" w:rsidRDefault="00D17632" w:rsidP="00D17632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>
          <w:pgSz w:w="11906" w:h="16383"/>
          <w:pgMar w:top="1134" w:right="850" w:bottom="1134" w:left="1701" w:header="720" w:footer="720" w:gutter="0"/>
          <w:cols w:space="720"/>
        </w:sectPr>
      </w:pPr>
      <w:r w:rsidRPr="00D17632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-56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875"/>
        <w:gridCol w:w="882"/>
        <w:gridCol w:w="1699"/>
        <w:gridCol w:w="1761"/>
        <w:gridCol w:w="2985"/>
      </w:tblGrid>
      <w:tr w:rsidR="00D17632" w:rsidRPr="00D17632" w:rsidTr="00D17632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bookmarkStart w:id="6" w:name="block-34872547"/>
            <w:bookmarkEnd w:id="5"/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ая информация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[Библиотека ЦОК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[</w:t>
            </w:r>
            <w:hyperlink r:id="rId1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406F8C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D17632" w:rsidRPr="00D17632" w:rsidTr="00D1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</w:tbl>
    <w:p w:rsidR="00D17632" w:rsidRDefault="00D17632" w:rsidP="00D1763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7632" w:rsidRDefault="00D17632" w:rsidP="00D1763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7632" w:rsidRPr="00D17632" w:rsidRDefault="00D17632" w:rsidP="00D17632">
      <w:pPr>
        <w:rPr>
          <w:sz w:val="24"/>
          <w:szCs w:val="24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  <w:r w:rsidRPr="00D17632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ПОУРОЧНОЕ ПЛАНИРОВАНИЕ</w:t>
      </w:r>
      <w:r w:rsidRPr="00D176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</w:t>
      </w:r>
      <w:r w:rsidRPr="00D17632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pPr w:leftFromText="180" w:rightFromText="180" w:vertAnchor="text" w:horzAnchor="margin" w:tblpY="-51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32"/>
        <w:gridCol w:w="708"/>
        <w:gridCol w:w="993"/>
        <w:gridCol w:w="992"/>
        <w:gridCol w:w="1522"/>
        <w:gridCol w:w="2531"/>
      </w:tblGrid>
      <w:tr w:rsidR="00D17632" w:rsidRPr="00D17632" w:rsidTr="00141A9A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17632" w:rsidRPr="00D17632" w:rsidTr="00141A9A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0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0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7632" w:rsidRPr="00D17632" w:rsidRDefault="00D17632" w:rsidP="00D17632">
            <w:pPr>
              <w:spacing w:after="0"/>
              <w:ind w:left="135"/>
              <w:rPr>
                <w:sz w:val="20"/>
                <w:szCs w:val="24"/>
              </w:rPr>
            </w:pPr>
            <w:r w:rsidRPr="00D1763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D17632" w:rsidRPr="00D17632" w:rsidRDefault="00D17632" w:rsidP="00D17632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632" w:rsidRPr="00D17632" w:rsidRDefault="00D17632" w:rsidP="00D17632">
            <w:pPr>
              <w:rPr>
                <w:sz w:val="24"/>
                <w:szCs w:val="24"/>
              </w:rPr>
            </w:pPr>
          </w:p>
        </w:tc>
      </w:tr>
      <w:tr w:rsidR="00141A9A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1A9A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141A9A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41A9A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1A9A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1A9A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41A9A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1A9A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141A9A" w:rsidRPr="00141A9A" w:rsidRDefault="00141A9A" w:rsidP="00141A9A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141A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41A9A" w:rsidRDefault="00141A9A" w:rsidP="0014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141A9A" w:rsidRPr="00D17632" w:rsidRDefault="00141A9A" w:rsidP="00141A9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с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геометрическим содержанием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404E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404E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9404E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действий в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числовом выражении (со скобками)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9404E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9404E1" w:rsidRDefault="009404E1" w:rsidP="009404E1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40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404E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E1" w:rsidRDefault="009404E1" w:rsidP="00940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9404E1" w:rsidRPr="00D17632" w:rsidRDefault="009404E1" w:rsidP="009404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Pr="00686F7F" w:rsidRDefault="0007569F" w:rsidP="0007569F">
            <w:pPr>
              <w:spacing w:after="0"/>
              <w:ind w:left="135"/>
              <w:rPr>
                <w:lang w:val="ru-RU"/>
              </w:rPr>
            </w:pPr>
            <w:r w:rsidRPr="00686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математических объектов (общее, различное,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уникальное/специфичное)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07569F" w:rsidRDefault="0007569F" w:rsidP="0007569F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075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площади в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заданных единицах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569F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/в». Определение с помощью цифровых и аналоговых приборов, измерительных инструментов времени; прикидка и оценка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результата измерений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7569F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7569F" w:rsidRDefault="0007569F" w:rsidP="00075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>01.2025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07569F" w:rsidRPr="00D17632" w:rsidRDefault="0007569F" w:rsidP="000756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«больше/ меньше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340296" w:rsidRDefault="00340296" w:rsidP="00340296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340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двузначное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340296" w:rsidRDefault="00340296" w:rsidP="00340296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340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/в» (в повторение)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в пределах 1000: чтение, запись,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упорядочение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40296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40296" w:rsidRDefault="00340296" w:rsidP="0034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340296" w:rsidRPr="00D17632" w:rsidRDefault="00340296" w:rsidP="003402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(правила)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устных и письменных вычислений (сложение, вычитание, умножение, деление)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574001" w:rsidRDefault="00574001" w:rsidP="00574001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574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5740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574001" w:rsidRDefault="00574001" w:rsidP="00574001">
            <w:pPr>
              <w:rPr>
                <w:b/>
                <w:sz w:val="24"/>
                <w:szCs w:val="24"/>
              </w:rPr>
            </w:pPr>
            <w:r w:rsidRPr="00574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740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74001" w:rsidRPr="00406F8C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Default="00574001" w:rsidP="0007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1763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162E2F" w:rsidP="0057400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740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162E2F" w:rsidP="00162E2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4001" w:rsidRPr="00D17632" w:rsidTr="00141A9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17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3" w:type="dxa"/>
            <w:gridSpan w:val="2"/>
            <w:tcMar>
              <w:top w:w="50" w:type="dxa"/>
              <w:left w:w="100" w:type="dxa"/>
            </w:tcMar>
            <w:vAlign w:val="center"/>
          </w:tcPr>
          <w:p w:rsidR="00574001" w:rsidRPr="00D17632" w:rsidRDefault="00574001" w:rsidP="00574001">
            <w:pPr>
              <w:rPr>
                <w:sz w:val="24"/>
                <w:szCs w:val="24"/>
              </w:rPr>
            </w:pPr>
          </w:p>
        </w:tc>
      </w:tr>
    </w:tbl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17632" w:rsidRDefault="00D17632" w:rsidP="00D17632">
      <w:pPr>
        <w:widowControl w:val="0"/>
        <w:autoSpaceDE w:val="0"/>
        <w:autoSpaceDN w:val="0"/>
        <w:spacing w:after="0" w:line="362" w:lineRule="auto"/>
        <w:outlineLvl w:val="0"/>
        <w:rPr>
          <w:rFonts w:ascii="Times New Roman" w:eastAsia="Times New Roman" w:hAnsi="Times New Roman" w:cs="Times New Roman"/>
          <w:b/>
          <w:bCs/>
          <w:spacing w:val="-57"/>
          <w:lang w:val="ru-RU"/>
        </w:rPr>
      </w:pPr>
      <w:r w:rsidRPr="008F05E6">
        <w:rPr>
          <w:rFonts w:ascii="Times New Roman" w:eastAsia="Times New Roman" w:hAnsi="Times New Roman" w:cs="Times New Roman"/>
          <w:b/>
          <w:bCs/>
          <w:lang w:val="ru-RU"/>
        </w:rPr>
        <w:t>УЧЕБНО-МЕТОДИЧЕСКОЕ</w:t>
      </w:r>
      <w:r w:rsidRPr="008F05E6">
        <w:rPr>
          <w:rFonts w:ascii="Times New Roman" w:eastAsia="Times New Roman" w:hAnsi="Times New Roman" w:cs="Times New Roman"/>
          <w:b/>
          <w:bCs/>
          <w:spacing w:val="-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>ОБЕСПЕЧЕНИЕ</w:t>
      </w:r>
      <w:r w:rsidRPr="008F05E6">
        <w:rPr>
          <w:rFonts w:ascii="Times New Roman" w:eastAsia="Times New Roman" w:hAnsi="Times New Roman" w:cs="Times New Roman"/>
          <w:b/>
          <w:bCs/>
          <w:spacing w:val="-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>ОБРАЗОВАТЕЛЬНОГО</w:t>
      </w:r>
      <w:r w:rsidRPr="008F05E6">
        <w:rPr>
          <w:rFonts w:ascii="Times New Roman" w:eastAsia="Times New Roman" w:hAnsi="Times New Roman" w:cs="Times New Roman"/>
          <w:b/>
          <w:bCs/>
          <w:spacing w:val="-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>ПРОЦЕССА</w:t>
      </w:r>
      <w:r w:rsidRPr="008F05E6">
        <w:rPr>
          <w:rFonts w:ascii="Times New Roman" w:eastAsia="Times New Roman" w:hAnsi="Times New Roman" w:cs="Times New Roman"/>
          <w:b/>
          <w:bCs/>
          <w:spacing w:val="-57"/>
          <w:lang w:val="ru-RU"/>
        </w:rPr>
        <w:t xml:space="preserve"> </w:t>
      </w:r>
    </w:p>
    <w:p w:rsidR="00D17632" w:rsidRPr="008F05E6" w:rsidRDefault="00D17632" w:rsidP="00D17632">
      <w:pPr>
        <w:widowControl w:val="0"/>
        <w:autoSpaceDE w:val="0"/>
        <w:autoSpaceDN w:val="0"/>
        <w:spacing w:after="0" w:line="362" w:lineRule="auto"/>
        <w:ind w:left="120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 w:rsidRPr="008F05E6">
        <w:rPr>
          <w:rFonts w:ascii="Times New Roman" w:eastAsia="Times New Roman" w:hAnsi="Times New Roman" w:cs="Times New Roman"/>
          <w:b/>
          <w:bCs/>
          <w:lang w:val="ru-RU"/>
        </w:rPr>
        <w:t>ОБЯЗАТЕЛЬНЫЕ</w:t>
      </w:r>
      <w:r w:rsidRPr="008F05E6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>УЧЕБНЫЕ</w:t>
      </w:r>
      <w:r w:rsidRPr="008F05E6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>МАТЕРИАЛЫ</w:t>
      </w:r>
      <w:r w:rsidRPr="008F05E6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>ДЛЯ</w:t>
      </w:r>
      <w:r w:rsidRPr="008F05E6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b/>
          <w:bCs/>
          <w:lang w:val="ru-RU"/>
        </w:rPr>
        <w:t xml:space="preserve">УЧЕНИКА </w:t>
      </w:r>
    </w:p>
    <w:p w:rsidR="00D17632" w:rsidRPr="008F05E6" w:rsidRDefault="00D17632" w:rsidP="00D17632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right="629" w:firstLine="0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>Моро</w:t>
      </w:r>
      <w:r w:rsidRPr="008F05E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М.И.</w:t>
      </w:r>
      <w:r w:rsidRPr="008F05E6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Математика:</w:t>
      </w:r>
      <w:r w:rsidRPr="008F05E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учебник</w:t>
      </w:r>
      <w:r w:rsidRPr="008F05E6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для</w:t>
      </w:r>
      <w:r w:rsidRPr="008F05E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8F05E6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класса:</w:t>
      </w:r>
      <w:r w:rsidRPr="008F05E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в</w:t>
      </w:r>
      <w:r w:rsidRPr="008F05E6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2</w:t>
      </w:r>
      <w:r w:rsidRPr="008F05E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частях</w:t>
      </w:r>
      <w:r w:rsidRPr="008F05E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/</w:t>
      </w:r>
      <w:r w:rsidRPr="008F05E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М.И.</w:t>
      </w:r>
      <w:r w:rsidRPr="008F05E6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Моро,</w:t>
      </w:r>
      <w:r w:rsidRPr="008F05E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С.И.</w:t>
      </w:r>
      <w:r w:rsidRPr="008F05E6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Волкова,</w:t>
      </w:r>
      <w:r w:rsidRPr="008F05E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С.В.</w:t>
      </w:r>
      <w:r w:rsidRPr="008F05E6">
        <w:rPr>
          <w:rFonts w:ascii="Times New Roman" w:eastAsia="Times New Roman" w:hAnsi="Times New Roman" w:cs="Times New Roman"/>
          <w:spacing w:val="-5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Степанова</w:t>
      </w:r>
      <w:r w:rsidRPr="008F05E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–</w:t>
      </w:r>
      <w:r w:rsidRPr="008F05E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М.:</w:t>
      </w:r>
      <w:r w:rsidRPr="008F05E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Просвещение,</w:t>
      </w:r>
      <w:r w:rsidRPr="008F05E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202</w:t>
      </w:r>
      <w:r>
        <w:rPr>
          <w:rFonts w:ascii="Times New Roman" w:eastAsia="Times New Roman" w:hAnsi="Times New Roman" w:cs="Times New Roman"/>
          <w:lang w:val="ru-RU"/>
        </w:rPr>
        <w:t>2</w:t>
      </w:r>
      <w:r w:rsidRPr="008F05E6">
        <w:rPr>
          <w:rFonts w:ascii="Times New Roman" w:eastAsia="Times New Roman" w:hAnsi="Times New Roman" w:cs="Times New Roman"/>
          <w:lang w:val="ru-RU"/>
        </w:rPr>
        <w:t>г.</w:t>
      </w:r>
    </w:p>
    <w:p w:rsidR="00D17632" w:rsidRDefault="00D17632" w:rsidP="00D17632">
      <w:pPr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right="616" w:firstLine="0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>Моро</w:t>
      </w:r>
      <w:r w:rsidRPr="008F05E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М.И.</w:t>
      </w:r>
      <w:r w:rsidRPr="008F05E6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Тетрадь</w:t>
      </w:r>
      <w:r w:rsidRPr="008F05E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по</w:t>
      </w:r>
      <w:r w:rsidRPr="008F05E6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математике</w:t>
      </w:r>
      <w:r w:rsidRPr="008F05E6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для</w:t>
      </w:r>
      <w:r w:rsidRPr="008F05E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2</w:t>
      </w:r>
      <w:r w:rsidRPr="008F05E6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класса:</w:t>
      </w:r>
      <w:r w:rsidRPr="008F05E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в</w:t>
      </w:r>
      <w:r w:rsidRPr="008F05E6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2</w:t>
      </w:r>
      <w:r w:rsidRPr="008F05E6">
        <w:rPr>
          <w:rFonts w:ascii="Times New Roman" w:eastAsia="Times New Roman" w:hAnsi="Times New Roman" w:cs="Times New Roman"/>
          <w:spacing w:val="2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частях</w:t>
      </w:r>
      <w:r w:rsidRPr="008F05E6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/</w:t>
      </w:r>
      <w:r w:rsidRPr="008F05E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М.И.</w:t>
      </w:r>
      <w:r w:rsidRPr="008F05E6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Моро,</w:t>
      </w:r>
      <w:r w:rsidRPr="008F05E6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С.И.</w:t>
      </w:r>
      <w:r w:rsidRPr="008F05E6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Волкова.</w:t>
      </w:r>
      <w:r w:rsidRPr="008F05E6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–</w:t>
      </w:r>
      <w:r w:rsidRPr="008F05E6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М.:</w:t>
      </w:r>
      <w:r w:rsidRPr="008F05E6">
        <w:rPr>
          <w:rFonts w:ascii="Times New Roman" w:eastAsia="Times New Roman" w:hAnsi="Times New Roman" w:cs="Times New Roman"/>
          <w:spacing w:val="-57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Просвещение,</w:t>
      </w:r>
      <w:r w:rsidRPr="008F05E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F05E6">
        <w:rPr>
          <w:rFonts w:ascii="Times New Roman" w:eastAsia="Times New Roman" w:hAnsi="Times New Roman" w:cs="Times New Roman"/>
          <w:lang w:val="ru-RU"/>
        </w:rPr>
        <w:t>202</w:t>
      </w:r>
      <w:r>
        <w:rPr>
          <w:rFonts w:ascii="Times New Roman" w:eastAsia="Times New Roman" w:hAnsi="Times New Roman" w:cs="Times New Roman"/>
          <w:lang w:val="ru-RU"/>
        </w:rPr>
        <w:t>4</w:t>
      </w:r>
    </w:p>
    <w:p w:rsidR="00D17632" w:rsidRPr="00D17632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240" w:lineRule="auto"/>
        <w:ind w:left="120" w:right="616"/>
        <w:rPr>
          <w:rFonts w:ascii="Times New Roman" w:eastAsia="Times New Roman" w:hAnsi="Times New Roman" w:cs="Times New Roman"/>
          <w:lang w:val="ru-RU"/>
        </w:rPr>
      </w:pP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b/>
          <w:lang w:val="ru-RU"/>
        </w:rPr>
      </w:pPr>
      <w:r w:rsidRPr="008F05E6">
        <w:rPr>
          <w:rFonts w:ascii="Times New Roman" w:eastAsia="Times New Roman" w:hAnsi="Times New Roman" w:cs="Times New Roman"/>
          <w:b/>
          <w:lang w:val="ru-RU"/>
        </w:rPr>
        <w:t>МЕТОДИЧЕСКИЕ МАТЕРИАЛЫ ДЛЯ УЧИТЕЛЯ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24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>1..Моро М.И. Математика: учебник для</w:t>
      </w:r>
      <w:r>
        <w:rPr>
          <w:rFonts w:ascii="Times New Roman" w:eastAsia="Times New Roman" w:hAnsi="Times New Roman" w:cs="Times New Roman"/>
          <w:lang w:val="ru-RU"/>
        </w:rPr>
        <w:t xml:space="preserve"> 3</w:t>
      </w:r>
      <w:r w:rsidRPr="008F05E6">
        <w:rPr>
          <w:rFonts w:ascii="Times New Roman" w:eastAsia="Times New Roman" w:hAnsi="Times New Roman" w:cs="Times New Roman"/>
          <w:lang w:val="ru-RU"/>
        </w:rPr>
        <w:t xml:space="preserve"> класса: в 2 частях / М.И. Моро, С.И. Волкова, С.В. Степанова – М.: Просвещение, 2</w:t>
      </w:r>
      <w:r>
        <w:rPr>
          <w:rFonts w:ascii="Times New Roman" w:eastAsia="Times New Roman" w:hAnsi="Times New Roman" w:cs="Times New Roman"/>
          <w:lang w:val="ru-RU"/>
        </w:rPr>
        <w:t>022</w:t>
      </w:r>
      <w:r w:rsidRPr="008F05E6">
        <w:rPr>
          <w:rFonts w:ascii="Times New Roman" w:eastAsia="Times New Roman" w:hAnsi="Times New Roman" w:cs="Times New Roman"/>
          <w:lang w:val="ru-RU"/>
        </w:rPr>
        <w:t xml:space="preserve">г.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240" w:lineRule="auto"/>
        <w:ind w:right="61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</w:t>
      </w:r>
      <w:r w:rsidRPr="008F05E6">
        <w:rPr>
          <w:rFonts w:ascii="Times New Roman" w:eastAsia="Times New Roman" w:hAnsi="Times New Roman" w:cs="Times New Roman"/>
          <w:lang w:val="ru-RU"/>
        </w:rPr>
        <w:t>.</w:t>
      </w:r>
      <w:r w:rsidRPr="008F05E6">
        <w:rPr>
          <w:rFonts w:ascii="Times New Roman" w:eastAsia="Times New Roman" w:hAnsi="Times New Roman" w:cs="Times New Roman"/>
          <w:lang w:val="ru-RU"/>
        </w:rPr>
        <w:tab/>
        <w:t>Математика. Методическое рекомендации 1-4 / Степанова С.В., Волкова С.И., Игушева И.А. - М.: Просвещение, 2017.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24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>4.</w:t>
      </w:r>
      <w:r w:rsidRPr="008F05E6">
        <w:rPr>
          <w:rFonts w:ascii="Times New Roman" w:eastAsia="Times New Roman" w:hAnsi="Times New Roman" w:cs="Times New Roman"/>
          <w:lang w:val="ru-RU"/>
        </w:rPr>
        <w:tab/>
        <w:t>Система уроков по учебнику М. И. Моро, С. И. Волковой, С. В. Степановой – Волгоград</w:t>
      </w:r>
      <w:proofErr w:type="gramStart"/>
      <w:r w:rsidRPr="008F05E6">
        <w:rPr>
          <w:rFonts w:ascii="Times New Roman" w:eastAsia="Times New Roman" w:hAnsi="Times New Roman" w:cs="Times New Roman"/>
          <w:lang w:val="ru-RU"/>
        </w:rPr>
        <w:t xml:space="preserve"> :</w:t>
      </w:r>
      <w:proofErr w:type="gramEnd"/>
      <w:r w:rsidRPr="008F05E6">
        <w:rPr>
          <w:rFonts w:ascii="Times New Roman" w:eastAsia="Times New Roman" w:hAnsi="Times New Roman" w:cs="Times New Roman"/>
          <w:lang w:val="ru-RU"/>
        </w:rPr>
        <w:t xml:space="preserve"> Учитель, 2</w:t>
      </w:r>
      <w:r>
        <w:rPr>
          <w:rFonts w:ascii="Times New Roman" w:eastAsia="Times New Roman" w:hAnsi="Times New Roman" w:cs="Times New Roman"/>
          <w:lang w:val="ru-RU"/>
        </w:rPr>
        <w:t>02</w:t>
      </w:r>
      <w:r w:rsidRPr="008F05E6">
        <w:rPr>
          <w:rFonts w:ascii="Times New Roman" w:eastAsia="Times New Roman" w:hAnsi="Times New Roman" w:cs="Times New Roman"/>
          <w:lang w:val="ru-RU"/>
        </w:rPr>
        <w:t>2.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24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>5.</w:t>
      </w:r>
      <w:r w:rsidRPr="008F05E6">
        <w:rPr>
          <w:rFonts w:ascii="Times New Roman" w:eastAsia="Times New Roman" w:hAnsi="Times New Roman" w:cs="Times New Roman"/>
          <w:lang w:val="ru-RU"/>
        </w:rPr>
        <w:tab/>
        <w:t xml:space="preserve">Контрольные работы Просвещение ФГОС. Школа России. Волкова С.И. Математика 1-4 класс, пособие для учтеля. К </w:t>
      </w:r>
      <w:proofErr w:type="gramStart"/>
      <w:r w:rsidRPr="008F05E6">
        <w:rPr>
          <w:rFonts w:ascii="Times New Roman" w:eastAsia="Times New Roman" w:hAnsi="Times New Roman" w:cs="Times New Roman"/>
          <w:lang w:val="ru-RU"/>
        </w:rPr>
        <w:t>учебни ку</w:t>
      </w:r>
      <w:proofErr w:type="gramEnd"/>
      <w:r w:rsidRPr="008F05E6">
        <w:rPr>
          <w:rFonts w:ascii="Times New Roman" w:eastAsia="Times New Roman" w:hAnsi="Times New Roman" w:cs="Times New Roman"/>
          <w:lang w:val="ru-RU"/>
        </w:rPr>
        <w:t xml:space="preserve"> М.И.Моро ,2020.</w:t>
      </w:r>
    </w:p>
    <w:p w:rsidR="00D17632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b/>
          <w:lang w:val="ru-RU"/>
        </w:rPr>
      </w:pP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b/>
          <w:lang w:val="ru-RU"/>
        </w:rPr>
      </w:pPr>
      <w:r w:rsidRPr="008F05E6">
        <w:rPr>
          <w:rFonts w:ascii="Times New Roman" w:eastAsia="Times New Roman" w:hAnsi="Times New Roman" w:cs="Times New Roman"/>
          <w:b/>
          <w:lang w:val="ru-RU"/>
        </w:rPr>
        <w:t>ЦИФРОВЫЕ ОБРАЗОВАТЕЛЬНЫЕ РЕСУРСЫ И РЕСУРСЫ СЕТИ  ИНТЕРНЕТ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 xml:space="preserve">https://pptcloud.ru/matematika/zadacha-154492 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 xml:space="preserve">https://resh.edu.ru/ </w:t>
      </w:r>
      <w:hyperlink r:id="rId114" w:history="1">
        <w:r w:rsidRPr="008F05E6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https://uchebnik.mos.ru/main</w:t>
        </w:r>
      </w:hyperlink>
      <w:r w:rsidRPr="008F05E6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D17632" w:rsidRPr="008F05E6" w:rsidRDefault="00406F8C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lang w:val="ru-RU"/>
        </w:rPr>
      </w:pPr>
      <w:hyperlink r:id="rId115" w:history="1">
        <w:r w:rsidR="00D17632" w:rsidRPr="008F05E6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https://education.yandex.ru/main</w:t>
        </w:r>
      </w:hyperlink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t xml:space="preserve"> https://pptcloud.ru/matematika</w:t>
      </w:r>
    </w:p>
    <w:p w:rsidR="00D17632" w:rsidRPr="008F05E6" w:rsidRDefault="00D17632" w:rsidP="00D17632">
      <w:pPr>
        <w:widowControl w:val="0"/>
        <w:tabs>
          <w:tab w:val="left" w:pos="303"/>
        </w:tabs>
        <w:autoSpaceDE w:val="0"/>
        <w:autoSpaceDN w:val="0"/>
        <w:spacing w:after="0" w:line="360" w:lineRule="auto"/>
        <w:ind w:right="616"/>
        <w:rPr>
          <w:rFonts w:ascii="Times New Roman" w:eastAsia="Times New Roman" w:hAnsi="Times New Roman" w:cs="Times New Roman"/>
          <w:lang w:val="ru-RU"/>
        </w:rPr>
      </w:pPr>
      <w:r w:rsidRPr="008F05E6">
        <w:rPr>
          <w:rFonts w:ascii="Times New Roman" w:eastAsia="Times New Roman" w:hAnsi="Times New Roman" w:cs="Times New Roman"/>
          <w:lang w:val="ru-RU"/>
        </w:rPr>
        <w:lastRenderedPageBreak/>
        <w:t>https://chetyrehugolniki-pryamougolnik-kvadrat-prezentatsiya-1-klass</w:t>
      </w:r>
    </w:p>
    <w:p w:rsidR="00D17632" w:rsidRPr="00D17632" w:rsidRDefault="00D17632" w:rsidP="00D17632">
      <w:pPr>
        <w:spacing w:after="0"/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spacing w:after="0"/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spacing w:after="0"/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  <w:bookmarkStart w:id="7" w:name="block-34872548"/>
      <w:bookmarkEnd w:id="6"/>
    </w:p>
    <w:p w:rsidR="00D17632" w:rsidRPr="00D17632" w:rsidRDefault="00D17632" w:rsidP="00D17632">
      <w:pPr>
        <w:spacing w:after="0"/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spacing w:after="0"/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</w:p>
    <w:p w:rsidR="00D17632" w:rsidRPr="00D17632" w:rsidRDefault="00D17632" w:rsidP="00D17632">
      <w:pPr>
        <w:rPr>
          <w:sz w:val="24"/>
          <w:szCs w:val="24"/>
          <w:lang w:val="ru-RU"/>
        </w:rPr>
        <w:sectPr w:rsidR="00D17632" w:rsidRPr="00D17632" w:rsidSect="00D17632">
          <w:pgSz w:w="11906" w:h="16383"/>
          <w:pgMar w:top="851" w:right="1134" w:bottom="1701" w:left="1134" w:header="720" w:footer="720" w:gutter="0"/>
          <w:cols w:space="720"/>
        </w:sectPr>
      </w:pPr>
      <w:bookmarkStart w:id="8" w:name="block-34872551"/>
      <w:bookmarkEnd w:id="7"/>
    </w:p>
    <w:bookmarkEnd w:id="8"/>
    <w:p w:rsidR="00D17632" w:rsidRPr="00D17632" w:rsidRDefault="00D17632" w:rsidP="00D17632">
      <w:pPr>
        <w:rPr>
          <w:sz w:val="24"/>
          <w:szCs w:val="24"/>
          <w:lang w:val="ru-RU"/>
        </w:rPr>
      </w:pPr>
    </w:p>
    <w:p w:rsidR="00F06D13" w:rsidRPr="00056C65" w:rsidRDefault="00F06D13">
      <w:pPr>
        <w:rPr>
          <w:lang w:val="ru-RU"/>
        </w:rPr>
        <w:sectPr w:rsidR="00F06D13" w:rsidRPr="00056C65" w:rsidSect="00D17632">
          <w:pgSz w:w="11906" w:h="16383"/>
          <w:pgMar w:top="851" w:right="1134" w:bottom="1701" w:left="1134" w:header="720" w:footer="720" w:gutter="0"/>
          <w:cols w:space="720"/>
        </w:sectPr>
      </w:pPr>
    </w:p>
    <w:bookmarkEnd w:id="0"/>
    <w:p w:rsidR="00D17632" w:rsidRPr="00D17632" w:rsidRDefault="00D17632">
      <w:pPr>
        <w:rPr>
          <w:sz w:val="24"/>
          <w:szCs w:val="24"/>
          <w:lang w:val="ru-RU"/>
        </w:rPr>
      </w:pPr>
    </w:p>
    <w:sectPr w:rsidR="00D17632" w:rsidRPr="00D17632" w:rsidSect="00D17632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EEE"/>
    <w:multiLevelType w:val="hybridMultilevel"/>
    <w:tmpl w:val="3D7ADD92"/>
    <w:lvl w:ilvl="0" w:tplc="D2BE6564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322AC6">
      <w:numFmt w:val="bullet"/>
      <w:lvlText w:val="•"/>
      <w:lvlJc w:val="left"/>
      <w:pPr>
        <w:ind w:left="1197" w:hanging="183"/>
      </w:pPr>
      <w:rPr>
        <w:rFonts w:hint="default"/>
        <w:lang w:val="ru-RU" w:eastAsia="en-US" w:bidi="ar-SA"/>
      </w:rPr>
    </w:lvl>
    <w:lvl w:ilvl="2" w:tplc="3F6C7E34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3" w:tplc="EF5E7302">
      <w:numFmt w:val="bullet"/>
      <w:lvlText w:val="•"/>
      <w:lvlJc w:val="left"/>
      <w:pPr>
        <w:ind w:left="3353" w:hanging="183"/>
      </w:pPr>
      <w:rPr>
        <w:rFonts w:hint="default"/>
        <w:lang w:val="ru-RU" w:eastAsia="en-US" w:bidi="ar-SA"/>
      </w:rPr>
    </w:lvl>
    <w:lvl w:ilvl="4" w:tplc="993646EE">
      <w:numFmt w:val="bullet"/>
      <w:lvlText w:val="•"/>
      <w:lvlJc w:val="left"/>
      <w:pPr>
        <w:ind w:left="4431" w:hanging="183"/>
      </w:pPr>
      <w:rPr>
        <w:rFonts w:hint="default"/>
        <w:lang w:val="ru-RU" w:eastAsia="en-US" w:bidi="ar-SA"/>
      </w:rPr>
    </w:lvl>
    <w:lvl w:ilvl="5" w:tplc="76760F8E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6" w:tplc="3C04B742">
      <w:numFmt w:val="bullet"/>
      <w:lvlText w:val="•"/>
      <w:lvlJc w:val="left"/>
      <w:pPr>
        <w:ind w:left="6587" w:hanging="183"/>
      </w:pPr>
      <w:rPr>
        <w:rFonts w:hint="default"/>
        <w:lang w:val="ru-RU" w:eastAsia="en-US" w:bidi="ar-SA"/>
      </w:rPr>
    </w:lvl>
    <w:lvl w:ilvl="7" w:tplc="03C2A236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82DE21F0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1">
    <w:nsid w:val="085551BC"/>
    <w:multiLevelType w:val="multilevel"/>
    <w:tmpl w:val="DEF88B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B7EC6"/>
    <w:multiLevelType w:val="multilevel"/>
    <w:tmpl w:val="A5B0FA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6D13"/>
    <w:rsid w:val="00056C65"/>
    <w:rsid w:val="0007569F"/>
    <w:rsid w:val="00141A9A"/>
    <w:rsid w:val="00162E2F"/>
    <w:rsid w:val="00340296"/>
    <w:rsid w:val="00406F8C"/>
    <w:rsid w:val="0053064D"/>
    <w:rsid w:val="00574001"/>
    <w:rsid w:val="009404E1"/>
    <w:rsid w:val="009425AC"/>
    <w:rsid w:val="00AB0A38"/>
    <w:rsid w:val="00D17632"/>
    <w:rsid w:val="00F0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0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hyperlink" Target="https://education.yandex.ru/mai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hyperlink" Target="https://uchebnik.mos.ru/main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10</cp:revision>
  <cp:lastPrinted>2024-09-16T15:22:00Z</cp:lastPrinted>
  <dcterms:created xsi:type="dcterms:W3CDTF">2024-08-25T12:43:00Z</dcterms:created>
  <dcterms:modified xsi:type="dcterms:W3CDTF">2024-09-17T09:57:00Z</dcterms:modified>
</cp:coreProperties>
</file>